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4D7" w:rsidRDefault="001364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Физическая культура. 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21.05.</w:t>
      </w:r>
    </w:p>
    <w:p w:rsidR="001364D7" w:rsidRDefault="001364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Тема. </w:t>
      </w:r>
    </w:p>
    <w:p w:rsidR="003C701F" w:rsidRPr="001364D7" w:rsidRDefault="001364D7">
      <w:pPr>
        <w:rPr>
          <w:rFonts w:ascii="Times New Roman" w:hAnsi="Times New Roman" w:cs="Times New Roman"/>
          <w:sz w:val="24"/>
          <w:szCs w:val="24"/>
        </w:rPr>
      </w:pPr>
      <w:r w:rsidRPr="001364D7">
        <w:rPr>
          <w:rFonts w:ascii="Times New Roman" w:hAnsi="Times New Roman" w:cs="Times New Roman"/>
          <w:sz w:val="24"/>
          <w:szCs w:val="24"/>
        </w:rPr>
        <w:t>Легкая атлетика.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64D7">
        <w:rPr>
          <w:rFonts w:ascii="Times New Roman" w:hAnsi="Times New Roman" w:cs="Times New Roman"/>
          <w:sz w:val="24"/>
          <w:szCs w:val="24"/>
        </w:rPr>
        <w:t>Бег в равномерном темпе на 800 м. Подвижные игры: «Гонка мячей», «Ловля парами». Развитие выносливости.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64D7">
        <w:rPr>
          <w:rFonts w:ascii="Times New Roman" w:hAnsi="Times New Roman" w:cs="Times New Roman"/>
          <w:sz w:val="24"/>
          <w:szCs w:val="24"/>
        </w:rPr>
        <w:t>Физическая культура как область знаний: Всероссийский физкультурно-спортивный  комплекс «Готов к труду и обороне: ознакомление с техникой выполнения метания</w:t>
      </w:r>
    </w:p>
    <w:p w:rsidR="001364D7" w:rsidRDefault="001364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ОРУ, беговые упр., упражнения для развития силы.</w:t>
      </w:r>
    </w:p>
    <w:p w:rsidR="001364D7" w:rsidRPr="001364D7" w:rsidRDefault="001364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Посмотреть видео на тему «техника выполнения метания»</w:t>
      </w:r>
    </w:p>
    <w:sectPr w:rsidR="001364D7" w:rsidRPr="001364D7" w:rsidSect="003C7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1364D7"/>
    <w:rsid w:val="001364D7"/>
    <w:rsid w:val="003C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0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2020-05-20T16:37:00Z</dcterms:created>
  <dcterms:modified xsi:type="dcterms:W3CDTF">2020-05-20T16:42:00Z</dcterms:modified>
</cp:coreProperties>
</file>